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39B" w:rsidRPr="000E739B" w:rsidRDefault="000E739B" w:rsidP="000E739B">
      <w:pPr>
        <w:shd w:val="clear" w:color="auto" w:fill="FFFFFF"/>
        <w:spacing w:before="300" w:after="219" w:line="240" w:lineRule="auto"/>
        <w:outlineLvl w:val="1"/>
        <w:rPr>
          <w:rFonts w:ascii="Calibri" w:eastAsia="Times New Roman" w:hAnsi="Calibri" w:cs="Calibri"/>
          <w:b/>
          <w:color w:val="344968"/>
          <w:sz w:val="24"/>
          <w:szCs w:val="24"/>
          <w:lang w:eastAsia="es-AR"/>
        </w:rPr>
      </w:pPr>
      <w:r w:rsidRPr="000E739B">
        <w:rPr>
          <w:rFonts w:ascii="Calibri" w:eastAsia="Times New Roman" w:hAnsi="Calibri" w:cs="Calibri"/>
          <w:b/>
          <w:color w:val="344968"/>
          <w:sz w:val="24"/>
          <w:szCs w:val="24"/>
          <w:lang w:eastAsia="es-AR"/>
        </w:rPr>
        <w:t>Historia del Banco Central</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b/>
          <w:bCs/>
          <w:color w:val="333333"/>
          <w:lang w:eastAsia="es-AR"/>
        </w:rPr>
        <w:t>El sistema monetario y bancario argentino antes de la creación del Banco Central</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Hasta 1881 el sistema monetario y financiero argentino estaba caracterizado por la convivencia de una multiplicidad de monedas emitidas por distintos bancos en el país o extranjeras. En 1881 se instauró una moneda nacional y se la vinculó al patrón oro pero la convertibilidad fue efímera y continuaron circulando lo que contemporáneamente llamaríamos cuasi-monedas, distintas al signo monetario nacional. Sólo después de renovadas crisis asociadas en muchos casos al endeudamiento externo, a principios del siglo XX, el país pudo volver al patrón oro y establecer un vínculo rígido entre el saldo del balance de pagos y la cantidad de dinero (suspendido entre 1914 y 1927 y, finalmente abandonado en diciembre de 1929).</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Este rasgo combinado con la ausencia de una autoridad centralizada que controlara la esfera monetaria generaba una alta inestabilidad en el sistema. El estallido de la crisis bancaria de 1890-91 motivó la creación de instituciones como la Caja de Conversión y el Banco de la Nación que hasta la década de 1930 centralizan instrumentos y funciones que luego le serían propias al Banco Central.</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Pero la falta de coordinación y las fluctuaciones del balance de pagos asociadas a los inestables movimientos de capital y también al perfil productivo del país, sesgado hacia la producción de productos primarios altamente vulnerable a los cambios en el mercado mundial, impidieron resolver la gran inestabilidad monetaria y financiera.</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 xml:space="preserve">En este contexto, se sucedieron desde 1900 varios proyectos de Ley de creación de un ente rector responsable del ordenamiento y control del sistema monetario y bancario del país, destacándose el presentado por el presidente Hipólito </w:t>
      </w:r>
      <w:proofErr w:type="spellStart"/>
      <w:r w:rsidRPr="000E739B">
        <w:rPr>
          <w:rFonts w:ascii="Calibri" w:eastAsia="Times New Roman" w:hAnsi="Calibri" w:cs="Calibri"/>
          <w:color w:val="333333"/>
          <w:lang w:eastAsia="es-AR"/>
        </w:rPr>
        <w:t>Yrigoyen</w:t>
      </w:r>
      <w:proofErr w:type="spellEnd"/>
      <w:r w:rsidRPr="000E739B">
        <w:rPr>
          <w:rFonts w:ascii="Calibri" w:eastAsia="Times New Roman" w:hAnsi="Calibri" w:cs="Calibri"/>
          <w:color w:val="333333"/>
          <w:lang w:eastAsia="es-AR"/>
        </w:rPr>
        <w:t xml:space="preserve"> en 1917 que incluía una política monetaria activa, de avanzada para la época.</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Ninguno de estos proyectos prosperó en el Congreso Nacional con una composición mayoritaria de orientación conservadora.</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Una década más tarde, con el inicio de la crisis financiera internacional de 1929 el sistema monetario y financiero del país se mostró definitivamente agotado. La Argentina, con una economía absolutamente abierta, fue sacudida por las medidas proteccionistas de sus socios comerciales y también por la drástica disminución de los flujos de capitales, corriente de recursos clave para sostener su balance de pagos con una pesada carga de remesas de beneficios de las empresas extranjeras y del servicio de la deuda pública. La crisis obligó a instaurar el control de cambios y otras medidas de intervención estatal que configuraron un abandono en los hechos de los postulados del librecambio. En ese contexto, y debido a sus repercusiones en el sistema bancario, se dieron las condiciones para la creación de un Banco Central que se hiciera cargo de centralizar el control de la política monetaria y cambiaria.</w:t>
      </w:r>
    </w:p>
    <w:p w:rsidR="000E739B" w:rsidRPr="000E739B" w:rsidRDefault="000E739B" w:rsidP="000E739B">
      <w:pPr>
        <w:shd w:val="clear" w:color="auto" w:fill="FFFFFF"/>
        <w:spacing w:after="150" w:line="240" w:lineRule="auto"/>
        <w:jc w:val="both"/>
        <w:rPr>
          <w:rFonts w:ascii="Calibri" w:eastAsia="Times New Roman" w:hAnsi="Calibri" w:cs="Calibri"/>
          <w:b/>
          <w:bCs/>
          <w:color w:val="333333"/>
          <w:lang w:eastAsia="es-AR"/>
        </w:rPr>
      </w:pP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b/>
          <w:bCs/>
          <w:color w:val="333333"/>
          <w:lang w:eastAsia="es-AR"/>
        </w:rPr>
        <w:t>La historia del Banco Central de la República Argentina en sus diferentes etapas</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 xml:space="preserve">Producto de la reforma monetaria y bancaria de 1935 nace el Banco Central de la República Argentina (BCRA) como una entidad mixta con participación estatal y privada, que tenía entre sus funciones la exclusividad en la emisión de billetes y monedas y la regulación de la cantidad de crédito y dinero, así como la acumulación de las reservas internacionales, el control del sistema </w:t>
      </w:r>
      <w:r w:rsidRPr="000E739B">
        <w:rPr>
          <w:rFonts w:ascii="Calibri" w:eastAsia="Times New Roman" w:hAnsi="Calibri" w:cs="Calibri"/>
          <w:color w:val="333333"/>
          <w:lang w:eastAsia="es-AR"/>
        </w:rPr>
        <w:lastRenderedPageBreak/>
        <w:t xml:space="preserve">bancario y actuar como agente financiero del Estado. Se dota así a la autoridad monetaria de instrumentos que posibilitan ejercer el papel de “prestamista de última instancia” y la adopción de políticas </w:t>
      </w:r>
      <w:proofErr w:type="spellStart"/>
      <w:r w:rsidRPr="000E739B">
        <w:rPr>
          <w:rFonts w:ascii="Calibri" w:eastAsia="Times New Roman" w:hAnsi="Calibri" w:cs="Calibri"/>
          <w:color w:val="333333"/>
          <w:lang w:eastAsia="es-AR"/>
        </w:rPr>
        <w:t>anticíclicas</w:t>
      </w:r>
      <w:proofErr w:type="spellEnd"/>
      <w:r w:rsidRPr="000E739B">
        <w:rPr>
          <w:rFonts w:ascii="Calibri" w:eastAsia="Times New Roman" w:hAnsi="Calibri" w:cs="Calibri"/>
          <w:color w:val="333333"/>
          <w:lang w:eastAsia="es-AR"/>
        </w:rPr>
        <w:t xml:space="preserve"> a fin de moderar las fluctuaciones económicas.</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 xml:space="preserve">Bajo la gerencia de Raúl </w:t>
      </w:r>
      <w:proofErr w:type="spellStart"/>
      <w:r w:rsidRPr="000E739B">
        <w:rPr>
          <w:rFonts w:ascii="Calibri" w:eastAsia="Times New Roman" w:hAnsi="Calibri" w:cs="Calibri"/>
          <w:color w:val="333333"/>
          <w:lang w:eastAsia="es-AR"/>
        </w:rPr>
        <w:t>Prebisch</w:t>
      </w:r>
      <w:proofErr w:type="spellEnd"/>
      <w:r w:rsidRPr="000E739B">
        <w:rPr>
          <w:rFonts w:ascii="Calibri" w:eastAsia="Times New Roman" w:hAnsi="Calibri" w:cs="Calibri"/>
          <w:color w:val="333333"/>
          <w:lang w:eastAsia="es-AR"/>
        </w:rPr>
        <w:t xml:space="preserve"> (1935-1943) y con un esquema del control de cambios, el BCRA pudo realizar políticas </w:t>
      </w:r>
      <w:proofErr w:type="spellStart"/>
      <w:r w:rsidRPr="000E739B">
        <w:rPr>
          <w:rFonts w:ascii="Calibri" w:eastAsia="Times New Roman" w:hAnsi="Calibri" w:cs="Calibri"/>
          <w:color w:val="333333"/>
          <w:lang w:eastAsia="es-AR"/>
        </w:rPr>
        <w:t>anticíclicas</w:t>
      </w:r>
      <w:proofErr w:type="spellEnd"/>
      <w:r w:rsidRPr="000E739B">
        <w:rPr>
          <w:rFonts w:ascii="Calibri" w:eastAsia="Times New Roman" w:hAnsi="Calibri" w:cs="Calibri"/>
          <w:color w:val="333333"/>
          <w:lang w:eastAsia="es-AR"/>
        </w:rPr>
        <w:t xml:space="preserve"> (“una política monetaria nacional”, la denominó </w:t>
      </w:r>
      <w:proofErr w:type="spellStart"/>
      <w:r w:rsidRPr="000E739B">
        <w:rPr>
          <w:rFonts w:ascii="Calibri" w:eastAsia="Times New Roman" w:hAnsi="Calibri" w:cs="Calibri"/>
          <w:color w:val="333333"/>
          <w:lang w:eastAsia="es-AR"/>
        </w:rPr>
        <w:t>Prebisch</w:t>
      </w:r>
      <w:proofErr w:type="spellEnd"/>
      <w:r w:rsidRPr="000E739B">
        <w:rPr>
          <w:rFonts w:ascii="Calibri" w:eastAsia="Times New Roman" w:hAnsi="Calibri" w:cs="Calibri"/>
          <w:color w:val="333333"/>
          <w:lang w:eastAsia="es-AR"/>
        </w:rPr>
        <w:t>), mantener el servicio de la deuda externa e incluso rescatar con reservas disponibles parte de la deuda externa, en un contexto de fuerte alza de los precios de las exportaciones.</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Sin embargo, la aplicación de políticas monetarias seguía estando condicionada por las preferencias e intereses de los inversores extranjeros – predominantemente británicos - que querían enviar sus ganancias al exterior y evitar devaluaciones de la moneda nacional.</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En 1946 se dispuso la Nacionalización del BCRA, y su función prioritaria pasó a ser la de promover el desarrollo económico. De este modo, buscó reducir la proporción de préstamos hacia actividades especulativas, y en contraposición, enfocar los recursos hacia las actividades productivas.</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En 1949 el BCRA pasó a depender del Ministerio de Finanzas de la Nación profundizando la política de orientación del crédito hacia la producción en actividades de importancia para el desarrollo del país.</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Desde entonces y hasta 1976, con las alternancias político-económicas (y marcado por los sucesivos golpes militares) que caracterizan al período, el Banco Central jugó un papel muy importante en la regulación de las tasas de interés y en el otorgamiento de créditos selectivos para desplegar una estrategia de sustitución de importaciones así como de promoción de exportaciones, con el objetivo de diversificar la matriz productiva y superar la etapa agroexportadora.</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En esta alternancia de políticas se inscribe la reforma de 1957 cuyo objetivo era liberalizar el sistema financiero, eliminar la nacionalización de los depósitos y la asignación por el Banco Central del crédito. Al Banco se le otorga un mayor grado de autonomía pero se prescribe que en el ejercicio de sus funciones se debía seguir las “directivas fundamentales del gobierno nacional en materia de política económica”. Asimismo se limita el monto que el Banco puede prestarle al gobierno pero no se abandona del todo el rol de la autoridad monetaria en el direccionamiento del crédito productivo, a través del control de la tasa de interés y el otorgamiento de redescuentos que permitían bajar sustancialmente el costo financiero los proyectos de inversión.</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Con un nuevo quiebre del orden constitucional en 1976 la economía argentina sufrió un brusco cambio de rumbo. El golpe cívico-militar entendió que el proceso de sustitución de importaciones se había agotado e impulsó medidas de liberalización comercial y financiera, en particular de la tasa de interés y de los movimientos de capitales con el exterior.</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El Banco -cuya carta orgánica no es modificada- se encuentra con nuevas tareas que emergen de esa liberalización de las tasas de interés así como del ingreso masivo de nuevas entidades al sistema bancario bajo una nueva Ley de Entidades Financieras (aprobada en 1977). En conjunto, el cambio de rumbo configura una temprana y poco cuidadosa inserción de la Argentina en el proceso de globalización financiera que termina con una masiva crisis bancaria en el año 1980, una de balance de pagos en 1981 y la de la deuda externa a partir de 1982.</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 xml:space="preserve">Con el restablecimiento de los gobiernos democráticos en 1983, y luego de un breve período hasta 1987 de políticas monetarias activas bajo algunas restricciones a los movimientos especulativos de </w:t>
      </w:r>
      <w:r w:rsidRPr="000E739B">
        <w:rPr>
          <w:rFonts w:ascii="Calibri" w:eastAsia="Times New Roman" w:hAnsi="Calibri" w:cs="Calibri"/>
          <w:color w:val="333333"/>
          <w:lang w:eastAsia="es-AR"/>
        </w:rPr>
        <w:lastRenderedPageBreak/>
        <w:t>capitales, en 1992 el plan de convertibilidad radicaliza aún más la política de liberalización iniciada en 1976.</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Con el establecimiento de la convertibilidad, la oferta monetaria quedaba determinada por el flujo neto de divisas con el exterior y al Banco Central se le otorga el mandato unívoco de “preservar el valor de la moneda” para pasar a tener un papel muy similar al de la Caja de Conversión de 1899, aunque dotado de la atribución de supervisión del sistema bancario bajo una cierta descentralización en la Superintendencia de Entidades Financieras y Cambiarias (</w:t>
      </w:r>
      <w:proofErr w:type="spellStart"/>
      <w:r w:rsidRPr="000E739B">
        <w:rPr>
          <w:rFonts w:ascii="Calibri" w:eastAsia="Times New Roman" w:hAnsi="Calibri" w:cs="Calibri"/>
          <w:color w:val="333333"/>
          <w:lang w:eastAsia="es-AR"/>
        </w:rPr>
        <w:t>SEFyC</w:t>
      </w:r>
      <w:proofErr w:type="spellEnd"/>
      <w:r w:rsidRPr="000E739B">
        <w:rPr>
          <w:rFonts w:ascii="Calibri" w:eastAsia="Times New Roman" w:hAnsi="Calibri" w:cs="Calibri"/>
          <w:color w:val="333333"/>
          <w:lang w:eastAsia="es-AR"/>
        </w:rPr>
        <w:t>). En 1992 se modifica la Carta Orgánica para acompasar la misión y funciones del Banco Central a los lineamientos de la política económica y en particular a la convertibilidad del peso con el dólar estadounidense.</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Este período se caracterizó por una marcada baja en la tasa de inflación respecto a la que había prevalecido en las décadas previas. Inicialmente el régimen permitió una fuerte recuperación de la economía, pero resultó demasiado rígido, para acomodar shocks externos. Así la crisis rusa de 1998 precipitó una salida generalizada de fondos de mercados emergentes, que en el contexto del tipo de cambio fijo propuesto por la Convertibilidad, precipitó a la Argentina en una profunda recesión, que finalmente derivó en la Ley de Emergencia Económica de 2002, donde se abandona la Convertibilidad hacia un esquema más flexible en el que el BCRA recupera la capacidad de efectuar políticas monetarias y cambiarias activas.</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Vale rescatar de esa época una mejora sustancial en la calidad de la regulación prudencial del Banco Central, que permitió a la postre una mayor solvencia de las entidades financieras que operan en el país.</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 xml:space="preserve">Una década más tarde, en marzo de 2012, se </w:t>
      </w:r>
      <w:proofErr w:type="spellStart"/>
      <w:r w:rsidRPr="000E739B">
        <w:rPr>
          <w:rFonts w:ascii="Calibri" w:eastAsia="Times New Roman" w:hAnsi="Calibri" w:cs="Calibri"/>
          <w:color w:val="333333"/>
          <w:lang w:eastAsia="es-AR"/>
        </w:rPr>
        <w:t>reestablece</w:t>
      </w:r>
      <w:proofErr w:type="spellEnd"/>
      <w:r w:rsidRPr="000E739B">
        <w:rPr>
          <w:rFonts w:ascii="Calibri" w:eastAsia="Times New Roman" w:hAnsi="Calibri" w:cs="Calibri"/>
          <w:color w:val="333333"/>
          <w:lang w:eastAsia="es-AR"/>
        </w:rPr>
        <w:t xml:space="preserve"> el mandato múltiple al Banco Central, devolviéndolo al servicio del desarrollo económico y la contribución a una mayor equidad social, pero preservando el objetivo de la estabilidad monetaria y la del sistema financiero como objetivos primarios de la institución.</w:t>
      </w:r>
    </w:p>
    <w:p w:rsidR="000E739B" w:rsidRPr="000E739B" w:rsidRDefault="000E739B" w:rsidP="000E739B">
      <w:pPr>
        <w:shd w:val="clear" w:color="auto" w:fill="FFFFFF"/>
        <w:spacing w:after="150" w:line="240" w:lineRule="auto"/>
        <w:jc w:val="both"/>
        <w:rPr>
          <w:rFonts w:ascii="Calibri" w:eastAsia="Times New Roman" w:hAnsi="Calibri" w:cs="Calibri"/>
          <w:color w:val="333333"/>
          <w:lang w:eastAsia="es-AR"/>
        </w:rPr>
      </w:pPr>
      <w:r w:rsidRPr="000E739B">
        <w:rPr>
          <w:rFonts w:ascii="Calibri" w:eastAsia="Times New Roman" w:hAnsi="Calibri" w:cs="Calibri"/>
          <w:color w:val="333333"/>
          <w:lang w:eastAsia="es-AR"/>
        </w:rPr>
        <w:t xml:space="preserve">Esta Carta Orgánica del BCRA también </w:t>
      </w:r>
      <w:proofErr w:type="spellStart"/>
      <w:r w:rsidRPr="000E739B">
        <w:rPr>
          <w:rFonts w:ascii="Calibri" w:eastAsia="Times New Roman" w:hAnsi="Calibri" w:cs="Calibri"/>
          <w:color w:val="333333"/>
          <w:lang w:eastAsia="es-AR"/>
        </w:rPr>
        <w:t>reestableció</w:t>
      </w:r>
      <w:proofErr w:type="spellEnd"/>
      <w:r w:rsidRPr="000E739B">
        <w:rPr>
          <w:rFonts w:ascii="Calibri" w:eastAsia="Times New Roman" w:hAnsi="Calibri" w:cs="Calibri"/>
          <w:color w:val="333333"/>
          <w:lang w:eastAsia="es-AR"/>
        </w:rPr>
        <w:t xml:space="preserve"> un vínculo más estrecho entre las decisiones de la </w:t>
      </w:r>
      <w:proofErr w:type="spellStart"/>
      <w:r w:rsidRPr="000E739B">
        <w:rPr>
          <w:rFonts w:ascii="Calibri" w:eastAsia="Times New Roman" w:hAnsi="Calibri" w:cs="Calibri"/>
          <w:color w:val="333333"/>
          <w:lang w:eastAsia="es-AR"/>
        </w:rPr>
        <w:t>SEFyC</w:t>
      </w:r>
      <w:proofErr w:type="spellEnd"/>
      <w:r w:rsidRPr="000E739B">
        <w:rPr>
          <w:rFonts w:ascii="Calibri" w:eastAsia="Times New Roman" w:hAnsi="Calibri" w:cs="Calibri"/>
          <w:color w:val="333333"/>
          <w:lang w:eastAsia="es-AR"/>
        </w:rPr>
        <w:t>, el Directorio y la Presidencia del Banco Central, dado que la experiencia mundial durante la crisis financiera internacional que se iniciara en 2007 ha demostrado que la supervisión de las entidades debe mantenerse dentro de los bancos centrales.</w:t>
      </w:r>
    </w:p>
    <w:p w:rsidR="00691D1A" w:rsidRPr="000E739B" w:rsidRDefault="00691D1A"/>
    <w:sectPr w:rsidR="00691D1A" w:rsidRPr="000E739B" w:rsidSect="00691D1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E739B"/>
    <w:rsid w:val="000E739B"/>
    <w:rsid w:val="00594DF3"/>
    <w:rsid w:val="00691D1A"/>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D1A"/>
  </w:style>
  <w:style w:type="paragraph" w:styleId="Ttulo2">
    <w:name w:val="heading 2"/>
    <w:basedOn w:val="Normal"/>
    <w:link w:val="Ttulo2Car"/>
    <w:uiPriority w:val="9"/>
    <w:qFormat/>
    <w:rsid w:val="000E739B"/>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E739B"/>
    <w:rPr>
      <w:rFonts w:ascii="Times New Roman" w:eastAsia="Times New Roman" w:hAnsi="Times New Roman" w:cs="Times New Roman"/>
      <w:b/>
      <w:bCs/>
      <w:sz w:val="36"/>
      <w:szCs w:val="36"/>
      <w:lang w:eastAsia="es-AR"/>
    </w:rPr>
  </w:style>
  <w:style w:type="paragraph" w:customStyle="1" w:styleId="post-pagina-interior">
    <w:name w:val="post-pagina-interior"/>
    <w:basedOn w:val="Normal"/>
    <w:rsid w:val="000E739B"/>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r="http://schemas.openxmlformats.org/officeDocument/2006/relationships" xmlns:w="http://schemas.openxmlformats.org/wordprocessingml/2006/main">
  <w:divs>
    <w:div w:id="64234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1458</Words>
  <Characters>8019</Characters>
  <Application>Microsoft Office Word</Application>
  <DocSecurity>0</DocSecurity>
  <Lines>66</Lines>
  <Paragraphs>18</Paragraphs>
  <ScaleCrop>false</ScaleCrop>
  <Company/>
  <LinksUpToDate>false</LinksUpToDate>
  <CharactersWithSpaces>9459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analia</dc:creator>
  <cp:lastModifiedBy>analia</cp:lastModifiedBy>
  <cp:revision>2</cp:revision>
  <dcterms:created xsi:type="dcterms:W3CDTF">2017-10-13T10:27:00Z</dcterms:created>
  <dcterms:modified xsi:type="dcterms:W3CDTF">2017-10-13T10:30:00Z</dcterms:modified>
</cp:coreProperties>
</file>